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Name"/>
        <w:jc w:val="center"/>
      </w:pPr>
      <w:r>
        <w:t>SABRINA L. STAINTON</w:t>
      </w:r>
    </w:p>
    <w:p>
      <w:pPr>
        <w:pStyle w:val="ResumeHeadline"/>
        <w:jc w:val="center"/>
      </w:pPr>
      <w:r>
        <w:t>SENIOR LEARNING &amp; DEVELOPMENT PROFESSIONAL | INSTRUCTIONAL DESIGN | LMS STRATEGY &amp; ADMINISTRATION</w:t>
      </w:r>
    </w:p>
    <w:p>
      <w:pPr>
        <w:jc w:val="center"/>
      </w:pPr>
      <w:r>
        <w:rPr>
          <w:color w:val="505050"/>
          <w:sz w:val="18"/>
        </w:rPr>
        <w:t>Chatsworth, GA  •  (706) 581-8570  •  sabrinalstainton@gmail.com  •  linkedin.com/in/sabrina-stainton-281562</w:t>
      </w:r>
    </w:p>
    <w:p>
      <w:pPr>
        <w:jc w:val="center"/>
      </w:pPr>
      <w:r>
        <w:rPr>
          <w:color w:val="505050"/>
          <w:sz w:val="18"/>
        </w:rPr>
        <w:t>Portfolio &amp; Work Samples: sabrinastainton.wixsite.com/mysite</w:t>
      </w:r>
    </w:p>
    <w:p>
      <w:pPr>
        <w:spacing w:after="40"/>
        <w:pBdr>
          <w:bottom w:val="single" w:sz="8" w:space="1" w:color="183B56"/>
        </w:pBdr>
      </w:pPr>
    </w:p>
    <w:p>
      <w:pPr>
        <w:pStyle w:val="SectionHeading"/>
      </w:pPr>
      <w:r>
        <w:t>PROFESSIONAL SUMMARY</w:t>
      </w:r>
    </w:p>
    <w:p>
      <w:pPr>
        <w:spacing w:after="80"/>
      </w:pPr>
      <w:r>
        <w:t>Senior learning and development professional with 20+ years of experience designing enterprise learning solutions, administering learning technologies, and leading complex training initiatives. Expertise includes instructional design, LMS strategy, compliance training, leadership development, performance management, learning analytics, and program implementation. Known for translating business needs into scalable, engaging learning experiences that strengthen workforce capability, improve adoption, and support measurable organizational outcomes.</w:t>
      </w:r>
    </w:p>
    <w:p>
      <w:pPr>
        <w:pStyle w:val="SectionHeading"/>
      </w:pPr>
      <w:r>
        <w:t>CORE EXPERTISE</w:t>
      </w:r>
    </w:p>
    <w:p>
      <w:pPr>
        <w:spacing w:after="80"/>
      </w:pPr>
      <w:r>
        <w:t>Instructional Design  •  Learning Strategy  •  LMS Implementation &amp; Administration  •  Leadership Development  •  Compliance Training  •  Performance Consulting  •  Learning Analytics  •  Program &amp; Project Management  •  Virtual Facilitation  •  eLearning Development  •  Stakeholder Management  •  Change Management  •  Section 508 Accessibility  •  AI-Enabled Learning</w:t>
      </w:r>
    </w:p>
    <w:p>
      <w:pPr>
        <w:pStyle w:val="SectionHeading"/>
      </w:pPr>
      <w:r>
        <w:t>SELECTED CAREER HIGHLIGHTS</w:t>
      </w:r>
    </w:p>
    <w:p>
      <w:pPr>
        <w:pStyle w:val="ResumeBullet"/>
      </w:pPr>
      <w:r>
        <w:rPr>
          <w:b/>
        </w:rPr>
        <w:t xml:space="preserve">• </w:t>
      </w:r>
      <w:r>
        <w:t>Identified, selected, implemented, and administered Litmos as SullivanCotter’s enterprise learning management system, establishing the foundation for SCH Academy.</w:t>
      </w:r>
    </w:p>
    <w:p>
      <w:pPr>
        <w:pStyle w:val="ResumeBullet"/>
      </w:pPr>
      <w:r>
        <w:rPr>
          <w:b/>
        </w:rPr>
        <w:t xml:space="preserve">• </w:t>
      </w:r>
      <w:r>
        <w:t>Increased learner adoption and engagement by 68.9% through the development of compelling digital learning experiences at Omnicell.</w:t>
      </w:r>
    </w:p>
    <w:p>
      <w:pPr>
        <w:pStyle w:val="ResumeBullet"/>
      </w:pPr>
      <w:r>
        <w:rPr>
          <w:b/>
        </w:rPr>
        <w:t>• Led enterprise compliance learning operations across Litmos and KnowBe4, improving completion visibility through consolidated data, issue resolution, and leadership-ready reporting.</w:t>
      </w:r>
      <w:r/>
    </w:p>
    <w:p>
      <w:pPr>
        <w:pStyle w:val="ResumeBullet"/>
      </w:pPr>
      <w:r>
        <w:rPr>
          <w:b/>
        </w:rPr>
        <w:t>• Applied generative AI and modern learning technologies to accelerate development while preserving quality, accuracy, accessibility, and human oversight.</w:t>
      </w:r>
      <w:r/>
    </w:p>
    <w:p>
      <w:pPr>
        <w:pStyle w:val="ResumeBullet"/>
      </w:pPr>
      <w:r>
        <w:rPr>
          <w:b/>
        </w:rPr>
        <w:t>• Combined learning strategy, instructional design, LMS leadership, analytics, and stakeholder consulting to deliver scalable workforce-development solutions.</w:t>
      </w:r>
      <w:r/>
    </w:p>
    <w:p>
      <w:pPr>
        <w:pStyle w:val="SectionHeading"/>
      </w:pPr>
      <w:r>
        <w:t>PROFESSIONAL EXPERIENCE</w:t>
      </w:r>
    </w:p>
    <w:tbl>
      <w:tblPr>
        <w:tblW w:type="auto" w:w="0"/>
        <w:jc w:val="left"/>
        <w:tblLayout w:type="fixed"/>
        <w:tblLook w:firstColumn="1" w:firstRow="1" w:lastColumn="0" w:lastRow="0" w:noHBand="0" w:noVBand="1" w:val="04A0"/>
      </w:tblPr>
      <w:tblGrid>
        <w:gridCol w:w="8064"/>
        <w:gridCol w:w="2232"/>
      </w:tblGrid>
      <w:tr>
        <w:trPr>
          <w:cantSplit/>
        </w:trPr>
        <w:tc>
          <w:tcPr>
            <w:tcW w:type="dxa" w:w="8064"/>
            <w:vAlign w:val="center"/>
            <w:tcMar>
              <w:top w:w="0" w:type="dxa"/>
              <w:left w:w="0" w:type="dxa"/>
              <w:bottom w:w="0" w:type="dxa"/>
              <w:right w:w="0" w:type="dxa"/>
            </w:tcMar>
          </w:tcPr>
          <w:p>
            <w:pPr>
              <w:pStyle w:val="RoleHeading"/>
            </w:pPr>
            <w:r>
              <w:rPr/>
              <w:t>Learning and Development Consultant</w:t>
            </w:r>
          </w:p>
        </w:tc>
        <w:tc>
          <w:tcPr>
            <w:tcW w:type="dxa" w:w="2232"/>
            <w:vAlign w:val="center"/>
            <w:tcMar>
              <w:top w:w="0" w:type="dxa"/>
              <w:left w:w="0" w:type="dxa"/>
              <w:bottom w:w="0" w:type="dxa"/>
              <w:right w:w="0" w:type="dxa"/>
            </w:tcMar>
          </w:tcPr>
          <w:p>
            <w:pPr>
              <w:pStyle w:val="RoleHeading"/>
              <w:jc w:val="right"/>
            </w:pPr>
            <w:r>
              <w:t>2023 – Aug 2026</w:t>
            </w:r>
          </w:p>
        </w:tc>
      </w:tr>
    </w:tbl>
    <w:p>
      <w:pPr>
        <w:pStyle w:val="CompanyLine"/>
      </w:pPr>
      <w:r>
        <w:rPr>
          <w:b/>
        </w:rPr>
        <w:t>SULLIVANCOTTER | Minneapolis, MN</w:t>
      </w:r>
      <w:r/>
    </w:p>
    <w:p>
      <w:pPr>
        <w:pStyle w:val="ResumeBullet"/>
      </w:pPr>
      <w:r>
        <w:rPr>
          <w:b/>
        </w:rPr>
        <w:t>• Led the full LMS lifecycle: assessed enterprise learning requirements, evaluated solutions, selected and implemented Litmos as SCH Academy, established governance and administration processes, and served as primary platform administrator.</w:t>
      </w:r>
      <w:r/>
    </w:p>
    <w:p>
      <w:pPr>
        <w:pStyle w:val="ResumeBullet"/>
      </w:pPr>
      <w:r>
        <w:rPr>
          <w:b/>
        </w:rPr>
        <w:t>• Configured and optimized Litmos across user management, roles and permissions, learning paths, assignments, instructor-led training, reporting, integrations, troubleshooting, and learner support.</w:t>
      </w:r>
      <w:r/>
    </w:p>
    <w:p>
      <w:pPr>
        <w:pStyle w:val="ResumeBullet"/>
      </w:pPr>
      <w:r>
        <w:rPr>
          <w:b/>
        </w:rPr>
        <w:t>• Consulted with business leaders to identify performance gaps and determine the right solution—training, communication, process improvement, or performance support—then designed scalable enterprise learning experiences.</w:t>
      </w:r>
      <w:r/>
    </w:p>
    <w:p>
      <w:pPr>
        <w:pStyle w:val="ResumeBullet"/>
      </w:pPr>
      <w:r>
        <w:rPr>
          <w:b/>
        </w:rPr>
        <w:t xml:space="preserve">• </w:t>
      </w:r>
      <w:r>
        <w:t>Led annual compliance training operations by consolidating data across Litmos and KnowBe4, monitoring completion, resolving user issues, and producing leadership-ready reports and dashboards.</w:t>
      </w:r>
    </w:p>
    <w:p>
      <w:pPr>
        <w:pStyle w:val="ResumeBullet"/>
      </w:pPr>
      <w:r>
        <w:rPr>
          <w:b/>
        </w:rPr>
        <w:t>• Translated organizational priorities and complex HR, legal, finance, IT, marketing, and operational processes into accessible learning strategies, programs, and implementation plans.</w:t>
      </w:r>
      <w:r/>
    </w:p>
    <w:p>
      <w:pPr>
        <w:pStyle w:val="ResumeBullet"/>
      </w:pPr>
      <w:r>
        <w:rPr>
          <w:b/>
        </w:rPr>
        <w:t xml:space="preserve">• </w:t>
      </w:r>
      <w:r>
        <w:t>Supported leadership development and performance management initiatives through Betterworks resources, manager training, development-conversation tools, and enterprise communications.</w:t>
      </w:r>
    </w:p>
    <w:p>
      <w:pPr>
        <w:pStyle w:val="ResumeBullet"/>
      </w:pPr>
      <w:r>
        <w:rPr>
          <w:b/>
        </w:rPr>
        <w:t>• Integrated ChatGPT, Claude, Gemini, and Perplexity into instructional-design workflows for research, course outlines, scenarios, assessments, scripts, and job aids, using human review to validate accuracy and protect confidential information.</w:t>
      </w:r>
      <w:r/>
    </w:p>
    <w:p>
      <w:pPr>
        <w:pStyle w:val="ResumeBullet"/>
      </w:pPr>
      <w:r>
        <w:rPr>
          <w:b/>
        </w:rPr>
        <w:t>• Managed multiple concurrent learning programs from needs analysis and stakeholder alignment through design, implementation, evaluation, and continuous improvement.</w:t>
      </w:r>
      <w:r/>
    </w:p>
    <w:tbl>
      <w:tblPr>
        <w:tblW w:type="auto" w:w="0"/>
        <w:jc w:val="left"/>
        <w:tblLayout w:type="fixed"/>
        <w:tblLook w:firstColumn="1" w:firstRow="1" w:lastColumn="0" w:lastRow="0" w:noHBand="0" w:noVBand="1" w:val="04A0"/>
      </w:tblPr>
      <w:tblGrid>
        <w:gridCol w:w="8064"/>
        <w:gridCol w:w="2232"/>
      </w:tblGrid>
      <w:tr>
        <w:trPr>
          <w:cantSplit/>
        </w:trPr>
        <w:tc>
          <w:tcPr>
            <w:tcW w:type="dxa" w:w="8064"/>
            <w:vAlign w:val="center"/>
            <w:tcMar>
              <w:top w:w="0" w:type="dxa"/>
              <w:left w:w="0" w:type="dxa"/>
              <w:bottom w:w="0" w:type="dxa"/>
              <w:right w:w="0" w:type="dxa"/>
            </w:tcMar>
          </w:tcPr>
          <w:p>
            <w:pPr>
              <w:pStyle w:val="RoleHeading"/>
            </w:pPr>
            <w:r>
              <w:t>Senior Instructional Designer / Learning Management System Administrator</w:t>
            </w:r>
          </w:p>
        </w:tc>
        <w:tc>
          <w:tcPr>
            <w:tcW w:type="dxa" w:w="2232"/>
            <w:vAlign w:val="center"/>
            <w:tcMar>
              <w:top w:w="0" w:type="dxa"/>
              <w:left w:w="0" w:type="dxa"/>
              <w:bottom w:w="0" w:type="dxa"/>
              <w:right w:w="0" w:type="dxa"/>
            </w:tcMar>
          </w:tcPr>
          <w:p>
            <w:pPr>
              <w:pStyle w:val="RoleHeading"/>
              <w:jc w:val="right"/>
            </w:pPr>
            <w:r>
              <w:t>2021 – 2023</w:t>
            </w:r>
          </w:p>
        </w:tc>
      </w:tr>
    </w:tbl>
    <w:p>
      <w:pPr>
        <w:pStyle w:val="CompanyLine"/>
      </w:pPr>
      <w:r>
        <w:rPr>
          <w:b/>
        </w:rPr>
        <w:t>OMNICELL</w:t>
      </w:r>
      <w:r>
        <w:t xml:space="preserve"> | Mountain View, CA / Remote</w:t>
      </w:r>
    </w:p>
    <w:p>
      <w:pPr>
        <w:pStyle w:val="ResumeBullet"/>
      </w:pPr>
      <w:r>
        <w:rPr>
          <w:b/>
        </w:rPr>
        <w:t xml:space="preserve">• </w:t>
      </w:r>
      <w:r>
        <w:t>Created compelling digital learning experiences that increased learner adoption and engagement by 68.9% organization-wide.</w:t>
      </w:r>
    </w:p>
    <w:p>
      <w:pPr>
        <w:pStyle w:val="ResumeBullet"/>
      </w:pPr>
      <w:r>
        <w:rPr>
          <w:b/>
        </w:rPr>
        <w:t xml:space="preserve">• </w:t>
      </w:r>
      <w:r>
        <w:t>Managed medium-to-large, complex training projects and partnered with senior stakeholders and web design teams to develop solutions grounded in adult learning principles.</w:t>
      </w:r>
    </w:p>
    <w:p>
      <w:pPr>
        <w:pStyle w:val="ResumeBullet"/>
      </w:pPr>
      <w:r>
        <w:rPr>
          <w:b/>
        </w:rPr>
        <w:t xml:space="preserve">• </w:t>
      </w:r>
      <w:r>
        <w:t>Established a microlearning curriculum using animated learning videos as an engaging delivery method.</w:t>
      </w:r>
    </w:p>
    <w:p>
      <w:pPr>
        <w:pStyle w:val="ResumeBullet"/>
      </w:pPr>
      <w:r>
        <w:rPr>
          <w:b/>
        </w:rPr>
        <w:t xml:space="preserve">• </w:t>
      </w:r>
      <w:r>
        <w:t>Developed design documents, training plans, task analyses, learner analyses, and online instructional modules aligned with business and performance needs.</w:t>
      </w:r>
    </w:p>
    <w:p>
      <w:pPr>
        <w:pStyle w:val="ResumeBullet"/>
      </w:pPr>
      <w:r>
        <w:rPr>
          <w:b/>
        </w:rPr>
        <w:t xml:space="preserve">• </w:t>
      </w:r>
      <w:r>
        <w:t>Modernized legacy PowerPoint content and outdated materials into interactive computer-based courses.</w:t>
      </w:r>
    </w:p>
    <w:p>
      <w:pPr>
        <w:pStyle w:val="ResumeBullet"/>
      </w:pPr>
      <w:r>
        <w:rPr>
          <w:b/>
        </w:rPr>
        <w:t xml:space="preserve">• </w:t>
      </w:r>
      <w:r>
        <w:t>Conducted quality-assurance reviews for instructional media and identified curriculum improvements that reduced technical issues and strengthened learner experience.</w:t>
      </w:r>
    </w:p>
    <w:tbl>
      <w:tblPr>
        <w:tblW w:type="auto" w:w="0"/>
        <w:jc w:val="left"/>
        <w:tblLayout w:type="fixed"/>
        <w:tblLook w:firstColumn="1" w:firstRow="1" w:lastColumn="0" w:lastRow="0" w:noHBand="0" w:noVBand="1" w:val="04A0"/>
      </w:tblPr>
      <w:tblGrid>
        <w:gridCol w:w="8064"/>
        <w:gridCol w:w="2232"/>
      </w:tblGrid>
      <w:tr>
        <w:trPr>
          <w:cantSplit/>
        </w:trPr>
        <w:tc>
          <w:tcPr>
            <w:tcW w:type="dxa" w:w="8064"/>
            <w:vAlign w:val="center"/>
            <w:tcMar>
              <w:top w:w="0" w:type="dxa"/>
              <w:left w:w="0" w:type="dxa"/>
              <w:bottom w:w="0" w:type="dxa"/>
              <w:right w:w="0" w:type="dxa"/>
            </w:tcMar>
          </w:tcPr>
          <w:p>
            <w:pPr>
              <w:pStyle w:val="RoleHeading"/>
            </w:pPr>
            <w:r>
              <w:t>Senior Instructional Designer</w:t>
            </w:r>
          </w:p>
        </w:tc>
        <w:tc>
          <w:tcPr>
            <w:tcW w:type="dxa" w:w="2232"/>
            <w:vAlign w:val="center"/>
            <w:tcMar>
              <w:top w:w="0" w:type="dxa"/>
              <w:left w:w="0" w:type="dxa"/>
              <w:bottom w:w="0" w:type="dxa"/>
              <w:right w:w="0" w:type="dxa"/>
            </w:tcMar>
          </w:tcPr>
          <w:p>
            <w:pPr>
              <w:pStyle w:val="RoleHeading"/>
              <w:jc w:val="right"/>
            </w:pPr>
            <w:r>
              <w:t>2018 – 2020</w:t>
            </w:r>
          </w:p>
        </w:tc>
      </w:tr>
    </w:tbl>
    <w:p>
      <w:pPr>
        <w:pStyle w:val="CompanyLine"/>
      </w:pPr>
      <w:r>
        <w:rPr>
          <w:b/>
        </w:rPr>
        <w:t>WINDSTREAM</w:t>
      </w:r>
      <w:r>
        <w:t xml:space="preserve"> | Dalton, GA</w:t>
      </w:r>
    </w:p>
    <w:p>
      <w:pPr>
        <w:pStyle w:val="ResumeBullet"/>
      </w:pPr>
      <w:r>
        <w:rPr>
          <w:b/>
        </w:rPr>
        <w:t xml:space="preserve">• </w:t>
      </w:r>
      <w:r>
        <w:t>Designed and developed instructor-led, virtual, and online learning materials using adult learning principles.</w:t>
      </w:r>
    </w:p>
    <w:p>
      <w:pPr>
        <w:pStyle w:val="ResumeBullet"/>
      </w:pPr>
      <w:r>
        <w:rPr>
          <w:b/>
        </w:rPr>
        <w:t xml:space="preserve">• </w:t>
      </w:r>
      <w:r>
        <w:t>Facilitated train-the-trainer sessions and managed medium-to-large instructional design projects.</w:t>
      </w:r>
    </w:p>
    <w:p>
      <w:pPr>
        <w:pStyle w:val="ResumeBullet"/>
      </w:pPr>
      <w:r>
        <w:rPr>
          <w:b/>
        </w:rPr>
        <w:t xml:space="preserve">• </w:t>
      </w:r>
      <w:r>
        <w:t>Partnered with stakeholders to analyze performance needs and rapidly adapt solutions as business priorities changed.</w:t>
      </w:r>
    </w:p>
    <w:tbl>
      <w:tblPr>
        <w:tblW w:type="auto" w:w="0"/>
        <w:jc w:val="left"/>
        <w:tblLayout w:type="fixed"/>
        <w:tblLook w:firstColumn="1" w:firstRow="1" w:lastColumn="0" w:lastRow="0" w:noHBand="0" w:noVBand="1" w:val="04A0"/>
      </w:tblPr>
      <w:tblGrid>
        <w:gridCol w:w="8064"/>
        <w:gridCol w:w="2232"/>
      </w:tblGrid>
      <w:tr>
        <w:trPr>
          <w:cantSplit/>
        </w:trPr>
        <w:tc>
          <w:tcPr>
            <w:tcW w:type="dxa" w:w="8064"/>
            <w:vAlign w:val="center"/>
            <w:tcMar>
              <w:top w:w="0" w:type="dxa"/>
              <w:left w:w="0" w:type="dxa"/>
              <w:bottom w:w="0" w:type="dxa"/>
              <w:right w:w="0" w:type="dxa"/>
            </w:tcMar>
          </w:tcPr>
          <w:p>
            <w:pPr>
              <w:pStyle w:val="RoleHeading"/>
            </w:pPr>
            <w:r>
              <w:t>Learning &amp; Development Manager</w:t>
            </w:r>
          </w:p>
        </w:tc>
        <w:tc>
          <w:tcPr>
            <w:tcW w:type="dxa" w:w="2232"/>
            <w:vAlign w:val="center"/>
            <w:tcMar>
              <w:top w:w="0" w:type="dxa"/>
              <w:left w:w="0" w:type="dxa"/>
              <w:bottom w:w="0" w:type="dxa"/>
              <w:right w:w="0" w:type="dxa"/>
            </w:tcMar>
          </w:tcPr>
          <w:p>
            <w:pPr>
              <w:pStyle w:val="RoleHeading"/>
              <w:jc w:val="right"/>
            </w:pPr>
            <w:r>
              <w:t>2015 – 2018</w:t>
            </w:r>
          </w:p>
        </w:tc>
      </w:tr>
    </w:tbl>
    <w:p>
      <w:pPr>
        <w:pStyle w:val="CompanyLine"/>
      </w:pPr>
      <w:r>
        <w:rPr>
          <w:b/>
        </w:rPr>
        <w:t>WINDSTREAM</w:t>
      </w:r>
      <w:r>
        <w:t xml:space="preserve"> | Dalton, GA</w:t>
      </w:r>
    </w:p>
    <w:p>
      <w:pPr>
        <w:pStyle w:val="ResumeBullet"/>
      </w:pPr>
      <w:r>
        <w:rPr>
          <w:b/>
        </w:rPr>
        <w:t xml:space="preserve">• </w:t>
      </w:r>
      <w:r>
        <w:t>Led teams of analysts and instructional designers supporting instructional design and enterprise knowledge-management functions.</w:t>
      </w:r>
    </w:p>
    <w:p>
      <w:pPr>
        <w:pStyle w:val="ResumeBullet"/>
      </w:pPr>
      <w:r>
        <w:rPr>
          <w:b/>
        </w:rPr>
        <w:t xml:space="preserve">• </w:t>
      </w:r>
      <w:r>
        <w:t>Coached and developed direct reports to strengthen capability, technology adoption, and alignment with evolving industry standards.</w:t>
      </w:r>
    </w:p>
    <w:p>
      <w:pPr>
        <w:pStyle w:val="ResumeBullet"/>
      </w:pPr>
      <w:r>
        <w:rPr>
          <w:b/>
        </w:rPr>
        <w:t xml:space="preserve">• </w:t>
      </w:r>
      <w:r>
        <w:t>Monitored learner and team performance, adjusted strategies to improve effectiveness, and facilitated engagement sessions to surface needs and opportunities.</w:t>
      </w:r>
    </w:p>
    <w:p>
      <w:pPr>
        <w:pStyle w:val="SectionHeading"/>
      </w:pPr>
      <w:r>
        <w:t>EARLIER EXPERIENCE</w:t>
      </w:r>
    </w:p>
    <w:p>
      <w:pPr>
        <w:spacing w:after="80"/>
      </w:pPr>
      <w:r>
        <w:rPr>
          <w:b/>
        </w:rPr>
        <w:t>Windstream — Web Development Analyst (2009–2015) | Trainer (2000–2009)</w:t>
      </w:r>
      <w:r>
        <w:br/>
        <w:t>Progressed through increasingly responsible roles supporting enterprise training, knowledge management, web development, facilitation, performance analysis, new-hire readiness, and workforce development. Created and maintained internal knowledge-base websites, conducted focus groups, led projects, developed standardized training, mentored new hires, evaluated learner progress, and designed training plans aligned with department objectives.</w:t>
      </w:r>
    </w:p>
    <w:p>
      <w:pPr>
        <w:pStyle w:val="SectionHeading"/>
      </w:pPr>
      <w:r>
        <w:t>LEARNING TECHNOLOGY &amp; TOOLS</w:t>
      </w:r>
    </w:p>
    <w:p>
      <w:pPr>
        <w:spacing w:after="0" w:line="240" w:lineRule="auto"/>
      </w:pPr>
      <w:r>
        <w:rPr>
          <w:b/>
          <w:sz w:val="19"/>
        </w:rPr>
        <w:t>Learning Platforms: Litmos, KnowBe4, Cornerstone, Docebo, Brainier, LinkedIn Learning</w:t>
        <w:br/>
        <w:t>Authoring &amp; Media: Articulate 360, Articulate Rise, Storyline, Scribe, Adobe Captivate, Camtasia, Adobe Creative Cloud, Snagit, Powtoon, Audacity</w:t>
        <w:br/>
        <w:t>AI Tools: ChatGPT, Claude, Perplexity, Gemini</w:t>
        <w:br/>
        <w:t>Performance &amp; Collaboration: Betterworks, Microsoft Teams, SharePoint, Smartsheet, Jira, Confluence, Zoom</w:t>
        <w:br/>
        <w:t>Productivity &amp; Web: Excel, PowerPoint, Word, Outlook, SQL, Google Workspace, HTML, WordPress</w:t>
      </w:r>
      <w:r>
        <w:rPr>
          <w:sz w:val="19"/>
        </w:rPr>
      </w:r>
      <w:r>
        <w:rPr>
          <w:sz w:val="19"/>
        </w:rPr>
      </w:r>
      <w:r>
        <w:rPr>
          <w:b/>
          <w:sz w:val="19"/>
        </w:rPr>
      </w:r>
      <w:r>
        <w:rPr>
          <w:sz w:val="19"/>
        </w:rPr>
      </w:r>
      <w:r>
        <w:rPr>
          <w:sz w:val="19"/>
        </w:rPr>
      </w:r>
      <w:r>
        <w:rPr>
          <w:b/>
          <w:sz w:val="19"/>
        </w:rPr>
      </w:r>
      <w:r>
        <w:rPr>
          <w:sz w:val="19"/>
        </w:rPr>
      </w:r>
      <w:r>
        <w:rPr>
          <w:sz w:val="19"/>
        </w:rPr>
      </w:r>
      <w:r>
        <w:rPr>
          <w:b/>
          <w:sz w:val="19"/>
        </w:rPr>
      </w:r>
      <w:r>
        <w:rPr>
          <w:sz w:val="19"/>
        </w:rPr>
      </w:r>
      <w:r>
        <w:rPr>
          <w:sz w:val="19"/>
        </w:rPr>
      </w:r>
      <w:r>
        <w:rPr>
          <w:b/>
          <w:sz w:val="19"/>
        </w:rPr>
      </w:r>
      <w:r>
        <w:rPr>
          <w:sz w:val="19"/>
        </w:rPr>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Sabrina L. Stainton | Resume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spacing w:before="0" w:after="40"/>
    </w:pPr>
    <w:rPr>
      <w:rFonts w:ascii="Aptos" w:hAnsi="Aptos" w:eastAsia="Aptos"/>
      <w:b/>
      <w:color w:val="183B56"/>
      <w:sz w:val="48"/>
    </w:rPr>
  </w:style>
  <w:style w:type="paragraph" w:customStyle="1" w:styleId="ResumeHeadline">
    <w:name w:val="Resume Headline"/>
    <w:pPr>
      <w:spacing w:before="0" w:after="60"/>
    </w:pPr>
    <w:rPr>
      <w:rFonts w:ascii="Aptos" w:hAnsi="Aptos" w:eastAsia="Aptos"/>
      <w:b/>
      <w:color w:val="555559"/>
      <w:sz w:val="22"/>
    </w:rPr>
  </w:style>
  <w:style w:type="paragraph" w:customStyle="1" w:styleId="SectionHeading">
    <w:name w:val="Section Heading"/>
    <w:pPr>
      <w:spacing w:before="160" w:after="60"/>
    </w:pPr>
    <w:rPr>
      <w:rFonts w:ascii="Aptos" w:hAnsi="Aptos" w:eastAsia="Aptos"/>
      <w:b/>
      <w:color w:val="183B56"/>
      <w:sz w:val="23"/>
    </w:rPr>
  </w:style>
  <w:style w:type="paragraph" w:customStyle="1" w:styleId="RoleHeading">
    <w:name w:val="Role Heading"/>
    <w:pPr>
      <w:spacing w:before="120" w:after="0"/>
    </w:pPr>
    <w:rPr>
      <w:rFonts w:ascii="Aptos" w:hAnsi="Aptos" w:eastAsia="Aptos"/>
      <w:b/>
      <w:color w:val="222222"/>
      <w:sz w:val="21"/>
    </w:rPr>
  </w:style>
  <w:style w:type="paragraph" w:customStyle="1" w:styleId="CompanyLine">
    <w:name w:val="Company Line"/>
    <w:pPr>
      <w:spacing w:before="0" w:after="40"/>
    </w:pPr>
    <w:rPr>
      <w:rFonts w:ascii="Aptos" w:hAnsi="Aptos" w:eastAsia="Aptos"/>
      <w:b w:val="0"/>
      <w:color w:val="555559"/>
      <w:sz w:val="19"/>
    </w:rPr>
  </w:style>
  <w:style w:type="paragraph" w:customStyle="1" w:styleId="ResumeBullet">
    <w:name w:val="Resume Bullet"/>
    <w:pPr>
      <w:spacing w:after="30" w:line="240" w:lineRule="auto"/>
      <w:ind w:left="259" w:hanging="173"/>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Sabrina Stainton Resume</dc:title>
  <dc:subject>Senior Learning and Development Professional</dc:subject>
  <dc:creator>Sabrina L. Stainton</dc:creator>
  <cp:keywords>Instructional Design, Learning and Development, LMS, Litmos, Leadership Development</cp:keywords>
  <dc:description>generated by python-docx</dc:description>
  <cp:lastModifiedBy/>
  <cp:revision>1</cp:revision>
  <dcterms:created xsi:type="dcterms:W3CDTF">2013-12-23T23:15:00Z</dcterms:created>
  <dcterms:modified xsi:type="dcterms:W3CDTF">2013-12-23T23:15:00Z</dcterms:modified>
  <cp:category/>
</cp:coreProperties>
</file>